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0A" w:rsidRDefault="000846F6" w:rsidP="000846F6">
      <w:pPr>
        <w:widowControl/>
        <w:shd w:val="clear" w:color="auto" w:fill="FFFFFF"/>
        <w:spacing w:line="640" w:lineRule="exact"/>
        <w:ind w:firstLineChars="200" w:firstLine="562"/>
        <w:jc w:val="center"/>
        <w:rPr>
          <w:rFonts w:ascii="仿宋_GB2312" w:eastAsia="仿宋_GB2312" w:hAnsi="宋体" w:cs="宋体"/>
          <w:b/>
          <w:bCs/>
          <w:color w:val="333333"/>
          <w:kern w:val="0"/>
          <w:sz w:val="28"/>
          <w:szCs w:val="28"/>
        </w:rPr>
      </w:pPr>
      <w:r>
        <w:rPr>
          <w:rFonts w:ascii="仿宋_GB2312" w:eastAsia="仿宋_GB2312" w:hAnsi="宋体" w:cs="宋体" w:hint="eastAsia"/>
          <w:b/>
          <w:bCs/>
          <w:color w:val="333333"/>
          <w:kern w:val="0"/>
          <w:sz w:val="28"/>
          <w:szCs w:val="28"/>
        </w:rPr>
        <w:t>上海市教育委员会本级财政预算项目各类开支内容及标准依据</w:t>
      </w:r>
    </w:p>
    <w:p w:rsidR="000846F6" w:rsidRDefault="000846F6" w:rsidP="000846F6">
      <w:pPr>
        <w:widowControl/>
        <w:shd w:val="clear" w:color="auto" w:fill="FFFFFF"/>
        <w:spacing w:line="640" w:lineRule="exact"/>
        <w:ind w:firstLineChars="200" w:firstLine="562"/>
        <w:jc w:val="center"/>
        <w:rPr>
          <w:rFonts w:ascii="仿宋_GB2312" w:eastAsia="仿宋_GB2312" w:hAnsi="宋体" w:cs="宋体"/>
          <w:b/>
          <w:bCs/>
          <w:color w:val="333333"/>
          <w:kern w:val="0"/>
          <w:sz w:val="28"/>
          <w:szCs w:val="28"/>
        </w:rPr>
      </w:pPr>
    </w:p>
    <w:p w:rsidR="0065000A" w:rsidRDefault="000846F6">
      <w:pPr>
        <w:widowControl/>
        <w:shd w:val="clear" w:color="auto" w:fill="FFFFFF"/>
        <w:spacing w:line="640" w:lineRule="exact"/>
        <w:ind w:firstLineChars="200"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项目经费支出主要费用内容包括：</w:t>
      </w:r>
    </w:p>
    <w:p w:rsidR="0065000A" w:rsidRDefault="000846F6">
      <w:pPr>
        <w:widowControl/>
        <w:shd w:val="clear" w:color="auto" w:fill="FFFFFF"/>
        <w:spacing w:line="64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1.差旅费：主要用于项目运行过程中开展相关考察、业务调研、学术交流等所发生的差旅费支出（含城市间交通费、住宿费、伙食补助费和市内交通费）。</w:t>
      </w:r>
    </w:p>
    <w:p w:rsidR="0065000A" w:rsidRDefault="000846F6">
      <w:pPr>
        <w:widowControl/>
        <w:shd w:val="clear" w:color="auto" w:fill="FFFFFF"/>
        <w:spacing w:line="64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应按照《上海市市级机关差旅费管理办法》（</w:t>
      </w:r>
      <w:proofErr w:type="gramStart"/>
      <w:r>
        <w:rPr>
          <w:rFonts w:ascii="仿宋_GB2312" w:eastAsia="仿宋_GB2312" w:hAnsi="宋体" w:cs="宋体" w:hint="eastAsia"/>
          <w:color w:val="333333"/>
          <w:kern w:val="0"/>
          <w:sz w:val="28"/>
          <w:szCs w:val="28"/>
        </w:rPr>
        <w:t>沪财行</w:t>
      </w:r>
      <w:proofErr w:type="gramEnd"/>
      <w:r>
        <w:rPr>
          <w:rFonts w:ascii="仿宋_GB2312" w:eastAsia="仿宋_GB2312" w:hAnsi="宋体" w:cs="宋体" w:hint="eastAsia"/>
          <w:color w:val="333333"/>
          <w:kern w:val="0"/>
          <w:sz w:val="28"/>
          <w:szCs w:val="28"/>
        </w:rPr>
        <w:t>〔2014〕9号）的规定分项列出，其中住宿费应按照《关于调整中央和国家机关差旅住宿费标准等有关问题的通知（财行〔2015〕497号）》的规定。应注明出差人数、出差地点、住宿天数和使用的交通工具；</w:t>
      </w:r>
    </w:p>
    <w:p w:rsidR="0065000A" w:rsidRDefault="000846F6">
      <w:pPr>
        <w:widowControl/>
        <w:shd w:val="clear" w:color="auto" w:fill="FFFFFF"/>
        <w:spacing w:line="64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2.培训费：主要用于项目组织开展培训的支出。</w:t>
      </w:r>
    </w:p>
    <w:p w:rsidR="0065000A" w:rsidRDefault="000846F6">
      <w:pPr>
        <w:widowControl/>
        <w:shd w:val="clear" w:color="auto" w:fill="FFFFFF"/>
        <w:spacing w:line="64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应按照《关于印发〈上海市市级机关培训费管理办法〉的通知》(</w:t>
      </w:r>
      <w:proofErr w:type="gramStart"/>
      <w:r>
        <w:rPr>
          <w:rFonts w:ascii="仿宋_GB2312" w:eastAsia="仿宋_GB2312" w:hAnsi="宋体" w:cs="宋体" w:hint="eastAsia"/>
          <w:color w:val="333333"/>
          <w:kern w:val="0"/>
          <w:sz w:val="28"/>
          <w:szCs w:val="28"/>
        </w:rPr>
        <w:t>沪财行</w:t>
      </w:r>
      <w:proofErr w:type="gramEnd"/>
      <w:r>
        <w:rPr>
          <w:rFonts w:ascii="仿宋_GB2312" w:eastAsia="仿宋_GB2312" w:hAnsi="宋体" w:cs="宋体" w:hint="eastAsia"/>
          <w:color w:val="333333"/>
          <w:kern w:val="0"/>
          <w:sz w:val="28"/>
          <w:szCs w:val="28"/>
        </w:rPr>
        <w:t>〔2014〕35号) 的规定执行：</w:t>
      </w:r>
    </w:p>
    <w:p w:rsidR="0065000A" w:rsidRDefault="000846F6">
      <w:pPr>
        <w:widowControl/>
        <w:shd w:val="clear" w:color="auto" w:fill="FFFFFF"/>
        <w:spacing w:line="600" w:lineRule="exact"/>
        <w:ind w:firstLineChars="200" w:firstLine="560"/>
        <w:jc w:val="righ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单位：元/人/天</w:t>
      </w:r>
    </w:p>
    <w:tbl>
      <w:tblPr>
        <w:tblW w:w="9510" w:type="dxa"/>
        <w:jc w:val="center"/>
        <w:tblLayout w:type="fixed"/>
        <w:tblLook w:val="04A0"/>
      </w:tblPr>
      <w:tblGrid>
        <w:gridCol w:w="1455"/>
        <w:gridCol w:w="1620"/>
        <w:gridCol w:w="1920"/>
        <w:gridCol w:w="3285"/>
        <w:gridCol w:w="1230"/>
      </w:tblGrid>
      <w:tr w:rsidR="0065000A">
        <w:trPr>
          <w:trHeight w:val="585"/>
          <w:jc w:val="center"/>
        </w:trPr>
        <w:tc>
          <w:tcPr>
            <w:tcW w:w="1455" w:type="dxa"/>
            <w:tcBorders>
              <w:top w:val="single" w:sz="8" w:space="0" w:color="auto"/>
              <w:left w:val="single" w:sz="8" w:space="0" w:color="auto"/>
              <w:bottom w:val="single" w:sz="8" w:space="0" w:color="auto"/>
              <w:right w:val="single" w:sz="8" w:space="0" w:color="auto"/>
            </w:tcBorders>
            <w:shd w:val="clear" w:color="auto" w:fill="auto"/>
            <w:vAlign w:val="center"/>
          </w:tcPr>
          <w:p w:rsidR="0065000A" w:rsidRDefault="000846F6">
            <w:pPr>
              <w:widowControl/>
              <w:shd w:val="clear" w:color="auto" w:fill="FFFFFF"/>
              <w:spacing w:line="600" w:lineRule="exact"/>
              <w:rPr>
                <w:rFonts w:ascii="仿宋_GB2312" w:eastAsia="仿宋_GB2312" w:hAnsi="宋体" w:cs="宋体"/>
                <w:color w:val="333333"/>
                <w:kern w:val="0"/>
                <w:sz w:val="24"/>
              </w:rPr>
            </w:pPr>
            <w:r>
              <w:rPr>
                <w:rFonts w:ascii="仿宋_GB2312" w:eastAsia="仿宋_GB2312" w:hAnsi="宋体" w:cs="宋体" w:hint="eastAsia"/>
                <w:color w:val="333333"/>
                <w:kern w:val="0"/>
                <w:sz w:val="24"/>
              </w:rPr>
              <w:t>住宿费</w:t>
            </w:r>
          </w:p>
        </w:tc>
        <w:tc>
          <w:tcPr>
            <w:tcW w:w="1620" w:type="dxa"/>
            <w:tcBorders>
              <w:top w:val="single" w:sz="8" w:space="0" w:color="auto"/>
              <w:left w:val="nil"/>
              <w:bottom w:val="single" w:sz="8" w:space="0" w:color="auto"/>
              <w:right w:val="single" w:sz="8" w:space="0" w:color="auto"/>
            </w:tcBorders>
            <w:shd w:val="clear" w:color="auto" w:fill="auto"/>
            <w:vAlign w:val="center"/>
          </w:tcPr>
          <w:p w:rsidR="0065000A" w:rsidRDefault="000846F6">
            <w:pPr>
              <w:widowControl/>
              <w:shd w:val="clear" w:color="auto" w:fill="FFFFFF"/>
              <w:spacing w:line="600" w:lineRule="exact"/>
              <w:rPr>
                <w:rFonts w:ascii="仿宋_GB2312" w:eastAsia="仿宋_GB2312" w:hAnsi="宋体" w:cs="宋体"/>
                <w:color w:val="333333"/>
                <w:kern w:val="0"/>
                <w:sz w:val="24"/>
              </w:rPr>
            </w:pPr>
            <w:r>
              <w:rPr>
                <w:rFonts w:ascii="仿宋_GB2312" w:eastAsia="仿宋_GB2312" w:hAnsi="宋体" w:cs="宋体" w:hint="eastAsia"/>
                <w:color w:val="333333"/>
                <w:kern w:val="0"/>
                <w:sz w:val="24"/>
              </w:rPr>
              <w:t>伙食费</w:t>
            </w:r>
          </w:p>
        </w:tc>
        <w:tc>
          <w:tcPr>
            <w:tcW w:w="1920" w:type="dxa"/>
            <w:tcBorders>
              <w:top w:val="single" w:sz="8" w:space="0" w:color="auto"/>
              <w:left w:val="nil"/>
              <w:bottom w:val="single" w:sz="8" w:space="0" w:color="auto"/>
              <w:right w:val="single" w:sz="8" w:space="0" w:color="auto"/>
            </w:tcBorders>
            <w:shd w:val="clear" w:color="auto" w:fill="auto"/>
            <w:vAlign w:val="center"/>
          </w:tcPr>
          <w:p w:rsidR="0065000A" w:rsidRDefault="000846F6">
            <w:pPr>
              <w:widowControl/>
              <w:shd w:val="clear" w:color="auto" w:fill="FFFFFF"/>
              <w:spacing w:line="600" w:lineRule="exact"/>
              <w:rPr>
                <w:rFonts w:ascii="仿宋_GB2312" w:eastAsia="仿宋_GB2312" w:hAnsi="宋体" w:cs="宋体"/>
                <w:color w:val="333333"/>
                <w:kern w:val="0"/>
                <w:sz w:val="24"/>
              </w:rPr>
            </w:pPr>
            <w:r>
              <w:rPr>
                <w:rFonts w:ascii="仿宋_GB2312" w:eastAsia="仿宋_GB2312" w:hAnsi="宋体" w:cs="宋体" w:hint="eastAsia"/>
                <w:color w:val="333333"/>
                <w:kern w:val="0"/>
                <w:sz w:val="24"/>
              </w:rPr>
              <w:t>场地费和讲课费</w:t>
            </w:r>
          </w:p>
        </w:tc>
        <w:tc>
          <w:tcPr>
            <w:tcW w:w="3285" w:type="dxa"/>
            <w:tcBorders>
              <w:top w:val="single" w:sz="8" w:space="0" w:color="auto"/>
              <w:left w:val="nil"/>
              <w:bottom w:val="single" w:sz="8" w:space="0" w:color="auto"/>
              <w:right w:val="single" w:sz="8" w:space="0" w:color="auto"/>
            </w:tcBorders>
            <w:shd w:val="clear" w:color="auto" w:fill="auto"/>
            <w:vAlign w:val="center"/>
          </w:tcPr>
          <w:p w:rsidR="0065000A" w:rsidRDefault="000846F6">
            <w:pPr>
              <w:widowControl/>
              <w:shd w:val="clear" w:color="auto" w:fill="FFFFFF"/>
              <w:spacing w:line="600" w:lineRule="exact"/>
              <w:rPr>
                <w:rFonts w:ascii="仿宋_GB2312" w:eastAsia="仿宋_GB2312" w:hAnsi="宋体" w:cs="宋体"/>
                <w:color w:val="333333"/>
                <w:kern w:val="0"/>
                <w:sz w:val="24"/>
              </w:rPr>
            </w:pPr>
            <w:r>
              <w:rPr>
                <w:rFonts w:ascii="仿宋_GB2312" w:eastAsia="仿宋_GB2312" w:hAnsi="宋体" w:cs="宋体" w:hint="eastAsia"/>
                <w:color w:val="333333"/>
                <w:kern w:val="0"/>
                <w:sz w:val="24"/>
              </w:rPr>
              <w:t>资料费、交通费和其他费用</w:t>
            </w:r>
          </w:p>
        </w:tc>
        <w:tc>
          <w:tcPr>
            <w:tcW w:w="1230" w:type="dxa"/>
            <w:tcBorders>
              <w:top w:val="single" w:sz="8" w:space="0" w:color="auto"/>
              <w:left w:val="nil"/>
              <w:bottom w:val="single" w:sz="8" w:space="0" w:color="auto"/>
              <w:right w:val="single" w:sz="8" w:space="0" w:color="auto"/>
            </w:tcBorders>
            <w:shd w:val="clear" w:color="auto" w:fill="auto"/>
            <w:vAlign w:val="center"/>
          </w:tcPr>
          <w:p w:rsidR="0065000A" w:rsidRDefault="000846F6">
            <w:pPr>
              <w:widowControl/>
              <w:shd w:val="clear" w:color="auto" w:fill="FFFFFF"/>
              <w:spacing w:line="600" w:lineRule="exact"/>
              <w:rPr>
                <w:rFonts w:ascii="仿宋_GB2312" w:eastAsia="仿宋_GB2312" w:hAnsi="宋体" w:cs="宋体"/>
                <w:color w:val="333333"/>
                <w:kern w:val="0"/>
                <w:sz w:val="24"/>
              </w:rPr>
            </w:pPr>
            <w:r>
              <w:rPr>
                <w:rFonts w:ascii="仿宋_GB2312" w:eastAsia="仿宋_GB2312" w:hAnsi="宋体" w:cs="宋体" w:hint="eastAsia"/>
                <w:color w:val="333333"/>
                <w:kern w:val="0"/>
                <w:sz w:val="24"/>
              </w:rPr>
              <w:t>合计</w:t>
            </w:r>
          </w:p>
        </w:tc>
      </w:tr>
      <w:tr w:rsidR="0065000A">
        <w:trPr>
          <w:trHeight w:val="300"/>
          <w:jc w:val="center"/>
        </w:trPr>
        <w:tc>
          <w:tcPr>
            <w:tcW w:w="1455" w:type="dxa"/>
            <w:tcBorders>
              <w:top w:val="nil"/>
              <w:left w:val="single" w:sz="8" w:space="0" w:color="auto"/>
              <w:bottom w:val="single" w:sz="8" w:space="0" w:color="auto"/>
              <w:right w:val="single" w:sz="8" w:space="0" w:color="auto"/>
            </w:tcBorders>
            <w:shd w:val="clear" w:color="auto" w:fill="auto"/>
            <w:vAlign w:val="center"/>
          </w:tcPr>
          <w:p w:rsidR="0065000A" w:rsidRDefault="000846F6">
            <w:pPr>
              <w:widowControl/>
              <w:shd w:val="clear" w:color="auto" w:fill="FFFFFF"/>
              <w:spacing w:line="600" w:lineRule="exact"/>
              <w:ind w:firstLineChars="200" w:firstLine="480"/>
              <w:rPr>
                <w:rFonts w:ascii="仿宋_GB2312" w:eastAsia="仿宋_GB2312" w:hAnsi="宋体" w:cs="宋体"/>
                <w:color w:val="333333"/>
                <w:kern w:val="0"/>
                <w:sz w:val="24"/>
              </w:rPr>
            </w:pPr>
            <w:r>
              <w:rPr>
                <w:rFonts w:ascii="仿宋_GB2312" w:eastAsia="仿宋_GB2312" w:hAnsi="宋体" w:cs="宋体" w:hint="eastAsia"/>
                <w:color w:val="333333"/>
                <w:kern w:val="0"/>
                <w:sz w:val="24"/>
              </w:rPr>
              <w:t>≦180</w:t>
            </w:r>
          </w:p>
        </w:tc>
        <w:tc>
          <w:tcPr>
            <w:tcW w:w="1620" w:type="dxa"/>
            <w:tcBorders>
              <w:top w:val="nil"/>
              <w:left w:val="nil"/>
              <w:bottom w:val="single" w:sz="8" w:space="0" w:color="auto"/>
              <w:right w:val="single" w:sz="8" w:space="0" w:color="auto"/>
            </w:tcBorders>
            <w:shd w:val="clear" w:color="auto" w:fill="auto"/>
            <w:vAlign w:val="center"/>
          </w:tcPr>
          <w:p w:rsidR="0065000A" w:rsidRDefault="000846F6">
            <w:pPr>
              <w:widowControl/>
              <w:shd w:val="clear" w:color="auto" w:fill="FFFFFF"/>
              <w:spacing w:line="600" w:lineRule="exact"/>
              <w:ind w:firstLineChars="200" w:firstLine="480"/>
              <w:rPr>
                <w:rFonts w:ascii="仿宋_GB2312" w:eastAsia="仿宋_GB2312" w:hAnsi="宋体" w:cs="宋体"/>
                <w:color w:val="333333"/>
                <w:kern w:val="0"/>
                <w:sz w:val="24"/>
              </w:rPr>
            </w:pPr>
            <w:r>
              <w:rPr>
                <w:rFonts w:ascii="仿宋_GB2312" w:eastAsia="仿宋_GB2312" w:hAnsi="宋体" w:cs="宋体" w:hint="eastAsia"/>
                <w:color w:val="333333"/>
                <w:kern w:val="0"/>
                <w:sz w:val="24"/>
              </w:rPr>
              <w:t>≦110</w:t>
            </w:r>
          </w:p>
        </w:tc>
        <w:tc>
          <w:tcPr>
            <w:tcW w:w="1920" w:type="dxa"/>
            <w:tcBorders>
              <w:top w:val="nil"/>
              <w:left w:val="nil"/>
              <w:bottom w:val="single" w:sz="8" w:space="0" w:color="auto"/>
              <w:right w:val="single" w:sz="8" w:space="0" w:color="auto"/>
            </w:tcBorders>
            <w:shd w:val="clear" w:color="auto" w:fill="auto"/>
            <w:vAlign w:val="center"/>
          </w:tcPr>
          <w:p w:rsidR="0065000A" w:rsidRDefault="000846F6">
            <w:pPr>
              <w:widowControl/>
              <w:shd w:val="clear" w:color="auto" w:fill="FFFFFF"/>
              <w:spacing w:line="600" w:lineRule="exact"/>
              <w:ind w:firstLineChars="200" w:firstLine="480"/>
              <w:rPr>
                <w:rFonts w:ascii="仿宋_GB2312" w:eastAsia="仿宋_GB2312" w:hAnsi="宋体" w:cs="宋体"/>
                <w:color w:val="333333"/>
                <w:kern w:val="0"/>
                <w:sz w:val="24"/>
              </w:rPr>
            </w:pPr>
            <w:r>
              <w:rPr>
                <w:rFonts w:ascii="仿宋_GB2312" w:eastAsia="仿宋_GB2312" w:hAnsi="宋体" w:cs="宋体" w:hint="eastAsia"/>
                <w:color w:val="333333"/>
                <w:kern w:val="0"/>
                <w:sz w:val="24"/>
              </w:rPr>
              <w:t>≦100</w:t>
            </w:r>
          </w:p>
        </w:tc>
        <w:tc>
          <w:tcPr>
            <w:tcW w:w="3285" w:type="dxa"/>
            <w:tcBorders>
              <w:top w:val="nil"/>
              <w:left w:val="nil"/>
              <w:bottom w:val="single" w:sz="8" w:space="0" w:color="auto"/>
              <w:right w:val="single" w:sz="8" w:space="0" w:color="auto"/>
            </w:tcBorders>
            <w:shd w:val="clear" w:color="auto" w:fill="auto"/>
            <w:vAlign w:val="center"/>
          </w:tcPr>
          <w:p w:rsidR="0065000A" w:rsidRDefault="000846F6">
            <w:pPr>
              <w:widowControl/>
              <w:shd w:val="clear" w:color="auto" w:fill="FFFFFF"/>
              <w:spacing w:line="600" w:lineRule="exact"/>
              <w:ind w:firstLineChars="200" w:firstLine="480"/>
              <w:rPr>
                <w:rFonts w:ascii="仿宋_GB2312" w:eastAsia="仿宋_GB2312" w:hAnsi="宋体" w:cs="宋体"/>
                <w:color w:val="333333"/>
                <w:kern w:val="0"/>
                <w:sz w:val="24"/>
              </w:rPr>
            </w:pPr>
            <w:r>
              <w:rPr>
                <w:rFonts w:ascii="仿宋_GB2312" w:eastAsia="仿宋_GB2312" w:hAnsi="宋体" w:cs="宋体" w:hint="eastAsia"/>
                <w:color w:val="333333"/>
                <w:kern w:val="0"/>
                <w:sz w:val="24"/>
              </w:rPr>
              <w:t>≦60</w:t>
            </w:r>
          </w:p>
        </w:tc>
        <w:tc>
          <w:tcPr>
            <w:tcW w:w="1230" w:type="dxa"/>
            <w:tcBorders>
              <w:top w:val="nil"/>
              <w:left w:val="nil"/>
              <w:bottom w:val="single" w:sz="8" w:space="0" w:color="auto"/>
              <w:right w:val="single" w:sz="8" w:space="0" w:color="auto"/>
            </w:tcBorders>
            <w:shd w:val="clear" w:color="auto" w:fill="auto"/>
            <w:vAlign w:val="center"/>
          </w:tcPr>
          <w:p w:rsidR="0065000A" w:rsidRDefault="000846F6">
            <w:pPr>
              <w:widowControl/>
              <w:shd w:val="clear" w:color="auto" w:fill="FFFFFF"/>
              <w:spacing w:line="600" w:lineRule="exact"/>
              <w:rPr>
                <w:rFonts w:ascii="仿宋_GB2312" w:eastAsia="仿宋_GB2312" w:hAnsi="宋体" w:cs="宋体"/>
                <w:color w:val="333333"/>
                <w:kern w:val="0"/>
                <w:sz w:val="24"/>
              </w:rPr>
            </w:pPr>
            <w:r>
              <w:rPr>
                <w:rFonts w:ascii="仿宋_GB2312" w:eastAsia="仿宋_GB2312" w:hAnsi="宋体" w:cs="宋体" w:hint="eastAsia"/>
                <w:color w:val="333333"/>
                <w:kern w:val="0"/>
                <w:sz w:val="24"/>
              </w:rPr>
              <w:t>≦450</w:t>
            </w:r>
          </w:p>
        </w:tc>
      </w:tr>
    </w:tbl>
    <w:p w:rsidR="0065000A" w:rsidRDefault="000846F6">
      <w:pPr>
        <w:widowControl/>
        <w:shd w:val="clear" w:color="auto" w:fill="FFFFFF"/>
        <w:spacing w:line="640" w:lineRule="exact"/>
        <w:ind w:firstLineChars="200"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单位：元/人/半天</w:t>
      </w:r>
    </w:p>
    <w:tbl>
      <w:tblPr>
        <w:tblW w:w="9160" w:type="dxa"/>
        <w:jc w:val="center"/>
        <w:tblLayout w:type="fixed"/>
        <w:tblLook w:val="04A0"/>
      </w:tblPr>
      <w:tblGrid>
        <w:gridCol w:w="1975"/>
        <w:gridCol w:w="2576"/>
        <w:gridCol w:w="2209"/>
        <w:gridCol w:w="2400"/>
      </w:tblGrid>
      <w:tr w:rsidR="0065000A">
        <w:trPr>
          <w:trHeight w:val="333"/>
          <w:jc w:val="center"/>
        </w:trPr>
        <w:tc>
          <w:tcPr>
            <w:tcW w:w="1975" w:type="dxa"/>
            <w:vMerge w:val="restart"/>
            <w:tcBorders>
              <w:top w:val="single" w:sz="8" w:space="0" w:color="auto"/>
              <w:left w:val="single" w:sz="8" w:space="0" w:color="auto"/>
              <w:right w:val="single" w:sz="8" w:space="0" w:color="auto"/>
            </w:tcBorders>
            <w:shd w:val="clear" w:color="auto" w:fill="auto"/>
            <w:vAlign w:val="center"/>
          </w:tcPr>
          <w:p w:rsidR="0065000A" w:rsidRDefault="000846F6">
            <w:pPr>
              <w:widowControl/>
              <w:shd w:val="clear" w:color="auto" w:fill="FFFFFF"/>
              <w:spacing w:line="640" w:lineRule="exact"/>
              <w:jc w:val="left"/>
              <w:rPr>
                <w:rFonts w:ascii="仿宋_GB2312" w:eastAsia="仿宋_GB2312" w:hAnsi="宋体" w:cs="宋体"/>
                <w:color w:val="333333"/>
                <w:kern w:val="0"/>
                <w:sz w:val="24"/>
              </w:rPr>
            </w:pPr>
            <w:r>
              <w:rPr>
                <w:rFonts w:ascii="仿宋_GB2312" w:eastAsia="仿宋_GB2312" w:hAnsi="宋体" w:cs="宋体" w:hint="eastAsia"/>
                <w:color w:val="333333"/>
                <w:kern w:val="0"/>
                <w:sz w:val="24"/>
              </w:rPr>
              <w:t>讲课费（税后）</w:t>
            </w:r>
          </w:p>
        </w:tc>
        <w:tc>
          <w:tcPr>
            <w:tcW w:w="2576" w:type="dxa"/>
            <w:tcBorders>
              <w:top w:val="single" w:sz="8" w:space="0" w:color="auto"/>
              <w:left w:val="nil"/>
              <w:bottom w:val="single" w:sz="8" w:space="0" w:color="auto"/>
              <w:right w:val="single" w:sz="8" w:space="0" w:color="auto"/>
            </w:tcBorders>
            <w:shd w:val="clear" w:color="auto" w:fill="auto"/>
            <w:vAlign w:val="center"/>
          </w:tcPr>
          <w:p w:rsidR="0065000A" w:rsidRDefault="000846F6">
            <w:pPr>
              <w:widowControl/>
              <w:shd w:val="clear" w:color="auto" w:fill="FFFFFF"/>
              <w:spacing w:line="640" w:lineRule="exact"/>
              <w:jc w:val="left"/>
              <w:rPr>
                <w:rFonts w:ascii="仿宋_GB2312" w:eastAsia="仿宋_GB2312" w:hAnsi="宋体" w:cs="宋体"/>
                <w:color w:val="333333"/>
                <w:kern w:val="0"/>
                <w:sz w:val="24"/>
              </w:rPr>
            </w:pPr>
            <w:r>
              <w:rPr>
                <w:rFonts w:ascii="仿宋_GB2312" w:eastAsia="仿宋_GB2312" w:hAnsi="宋体" w:cs="宋体" w:hint="eastAsia"/>
                <w:color w:val="333333"/>
                <w:kern w:val="0"/>
                <w:sz w:val="24"/>
              </w:rPr>
              <w:t>院士、全国知名专家</w:t>
            </w:r>
          </w:p>
        </w:tc>
        <w:tc>
          <w:tcPr>
            <w:tcW w:w="2209" w:type="dxa"/>
            <w:tcBorders>
              <w:top w:val="single" w:sz="8" w:space="0" w:color="auto"/>
              <w:left w:val="nil"/>
              <w:bottom w:val="single" w:sz="8" w:space="0" w:color="auto"/>
              <w:right w:val="single" w:sz="8" w:space="0" w:color="auto"/>
            </w:tcBorders>
            <w:shd w:val="clear" w:color="auto" w:fill="auto"/>
            <w:vAlign w:val="center"/>
          </w:tcPr>
          <w:p w:rsidR="0065000A" w:rsidRDefault="000846F6">
            <w:pPr>
              <w:widowControl/>
              <w:shd w:val="clear" w:color="auto" w:fill="FFFFFF"/>
              <w:spacing w:line="640" w:lineRule="exact"/>
              <w:jc w:val="left"/>
              <w:rPr>
                <w:rFonts w:ascii="仿宋_GB2312" w:eastAsia="仿宋_GB2312" w:hAnsi="宋体" w:cs="宋体"/>
                <w:color w:val="333333"/>
                <w:kern w:val="0"/>
                <w:sz w:val="24"/>
              </w:rPr>
            </w:pPr>
            <w:r>
              <w:rPr>
                <w:rFonts w:ascii="仿宋_GB2312" w:eastAsia="仿宋_GB2312" w:hAnsi="宋体" w:cs="宋体" w:hint="eastAsia"/>
                <w:color w:val="333333"/>
                <w:kern w:val="0"/>
                <w:sz w:val="24"/>
              </w:rPr>
              <w:t>正高级技术职称</w:t>
            </w:r>
          </w:p>
        </w:tc>
        <w:tc>
          <w:tcPr>
            <w:tcW w:w="2400" w:type="dxa"/>
            <w:tcBorders>
              <w:top w:val="single" w:sz="8" w:space="0" w:color="auto"/>
              <w:left w:val="nil"/>
              <w:bottom w:val="single" w:sz="8" w:space="0" w:color="auto"/>
              <w:right w:val="single" w:sz="8" w:space="0" w:color="auto"/>
            </w:tcBorders>
            <w:shd w:val="clear" w:color="auto" w:fill="auto"/>
            <w:vAlign w:val="center"/>
          </w:tcPr>
          <w:p w:rsidR="0065000A" w:rsidRDefault="000846F6">
            <w:pPr>
              <w:widowControl/>
              <w:shd w:val="clear" w:color="auto" w:fill="FFFFFF"/>
              <w:spacing w:line="640" w:lineRule="exact"/>
              <w:jc w:val="left"/>
              <w:rPr>
                <w:rFonts w:ascii="仿宋_GB2312" w:eastAsia="仿宋_GB2312" w:hAnsi="宋体" w:cs="宋体"/>
                <w:color w:val="333333"/>
                <w:kern w:val="0"/>
                <w:sz w:val="24"/>
              </w:rPr>
            </w:pPr>
            <w:r>
              <w:rPr>
                <w:rFonts w:ascii="仿宋_GB2312" w:eastAsia="仿宋_GB2312" w:hAnsi="宋体" w:cs="宋体" w:hint="eastAsia"/>
                <w:color w:val="333333"/>
                <w:kern w:val="0"/>
                <w:sz w:val="24"/>
              </w:rPr>
              <w:t>副高级技术职称</w:t>
            </w:r>
          </w:p>
        </w:tc>
      </w:tr>
      <w:tr w:rsidR="0065000A">
        <w:trPr>
          <w:trHeight w:val="300"/>
          <w:jc w:val="center"/>
        </w:trPr>
        <w:tc>
          <w:tcPr>
            <w:tcW w:w="1975" w:type="dxa"/>
            <w:vMerge/>
            <w:tcBorders>
              <w:left w:val="single" w:sz="8" w:space="0" w:color="auto"/>
              <w:bottom w:val="single" w:sz="8" w:space="0" w:color="auto"/>
              <w:right w:val="single" w:sz="8" w:space="0" w:color="auto"/>
            </w:tcBorders>
            <w:shd w:val="clear" w:color="auto" w:fill="auto"/>
          </w:tcPr>
          <w:p w:rsidR="0065000A" w:rsidRDefault="0065000A">
            <w:pPr>
              <w:widowControl/>
              <w:shd w:val="clear" w:color="auto" w:fill="FFFFFF"/>
              <w:spacing w:line="640" w:lineRule="exact"/>
              <w:ind w:firstLineChars="200" w:firstLine="480"/>
              <w:jc w:val="left"/>
              <w:rPr>
                <w:rFonts w:ascii="仿宋_GB2312" w:eastAsia="仿宋_GB2312" w:hAnsi="宋体" w:cs="宋体"/>
                <w:color w:val="333333"/>
                <w:kern w:val="0"/>
                <w:sz w:val="24"/>
              </w:rPr>
            </w:pPr>
          </w:p>
        </w:tc>
        <w:tc>
          <w:tcPr>
            <w:tcW w:w="2576" w:type="dxa"/>
            <w:tcBorders>
              <w:top w:val="nil"/>
              <w:left w:val="nil"/>
              <w:bottom w:val="single" w:sz="8" w:space="0" w:color="auto"/>
              <w:right w:val="single" w:sz="8" w:space="0" w:color="auto"/>
            </w:tcBorders>
            <w:shd w:val="clear" w:color="auto" w:fill="auto"/>
            <w:vAlign w:val="center"/>
          </w:tcPr>
          <w:p w:rsidR="0065000A" w:rsidRDefault="000846F6">
            <w:pPr>
              <w:widowControl/>
              <w:shd w:val="clear" w:color="auto" w:fill="FFFFFF"/>
              <w:spacing w:line="640" w:lineRule="exact"/>
              <w:ind w:firstLineChars="200" w:firstLine="480"/>
              <w:jc w:val="left"/>
              <w:rPr>
                <w:rFonts w:ascii="仿宋_GB2312" w:eastAsia="仿宋_GB2312" w:hAnsi="宋体" w:cs="宋体"/>
                <w:color w:val="333333"/>
                <w:kern w:val="0"/>
                <w:sz w:val="24"/>
              </w:rPr>
            </w:pPr>
            <w:r>
              <w:rPr>
                <w:rFonts w:ascii="仿宋_GB2312" w:eastAsia="仿宋_GB2312" w:hAnsi="宋体" w:cs="宋体" w:hint="eastAsia"/>
                <w:color w:val="333333"/>
                <w:kern w:val="0"/>
                <w:sz w:val="24"/>
              </w:rPr>
              <w:t>≦3000</w:t>
            </w:r>
          </w:p>
        </w:tc>
        <w:tc>
          <w:tcPr>
            <w:tcW w:w="2209" w:type="dxa"/>
            <w:tcBorders>
              <w:top w:val="nil"/>
              <w:left w:val="nil"/>
              <w:bottom w:val="single" w:sz="8" w:space="0" w:color="auto"/>
              <w:right w:val="single" w:sz="8" w:space="0" w:color="auto"/>
            </w:tcBorders>
            <w:shd w:val="clear" w:color="auto" w:fill="auto"/>
            <w:vAlign w:val="center"/>
          </w:tcPr>
          <w:p w:rsidR="0065000A" w:rsidRDefault="000846F6">
            <w:pPr>
              <w:widowControl/>
              <w:shd w:val="clear" w:color="auto" w:fill="FFFFFF"/>
              <w:spacing w:line="640" w:lineRule="exact"/>
              <w:ind w:firstLineChars="200" w:firstLine="480"/>
              <w:jc w:val="left"/>
              <w:rPr>
                <w:rFonts w:ascii="仿宋_GB2312" w:eastAsia="仿宋_GB2312" w:hAnsi="宋体" w:cs="宋体"/>
                <w:color w:val="333333"/>
                <w:kern w:val="0"/>
                <w:sz w:val="24"/>
              </w:rPr>
            </w:pPr>
            <w:r>
              <w:rPr>
                <w:rFonts w:ascii="仿宋_GB2312" w:eastAsia="仿宋_GB2312" w:hAnsi="宋体" w:cs="宋体" w:hint="eastAsia"/>
                <w:color w:val="333333"/>
                <w:kern w:val="0"/>
                <w:sz w:val="24"/>
              </w:rPr>
              <w:t>≦2000</w:t>
            </w:r>
          </w:p>
        </w:tc>
        <w:tc>
          <w:tcPr>
            <w:tcW w:w="2400" w:type="dxa"/>
            <w:tcBorders>
              <w:top w:val="nil"/>
              <w:left w:val="nil"/>
              <w:bottom w:val="single" w:sz="8" w:space="0" w:color="auto"/>
              <w:right w:val="single" w:sz="8" w:space="0" w:color="auto"/>
            </w:tcBorders>
            <w:shd w:val="clear" w:color="auto" w:fill="auto"/>
            <w:vAlign w:val="center"/>
          </w:tcPr>
          <w:p w:rsidR="0065000A" w:rsidRDefault="000846F6">
            <w:pPr>
              <w:widowControl/>
              <w:shd w:val="clear" w:color="auto" w:fill="FFFFFF"/>
              <w:spacing w:line="640" w:lineRule="exact"/>
              <w:ind w:firstLineChars="200" w:firstLine="480"/>
              <w:jc w:val="left"/>
              <w:rPr>
                <w:rFonts w:ascii="仿宋_GB2312" w:eastAsia="仿宋_GB2312" w:hAnsi="宋体" w:cs="宋体"/>
                <w:color w:val="333333"/>
                <w:kern w:val="0"/>
                <w:sz w:val="24"/>
              </w:rPr>
            </w:pPr>
            <w:r>
              <w:rPr>
                <w:rFonts w:ascii="仿宋_GB2312" w:eastAsia="仿宋_GB2312" w:hAnsi="宋体" w:cs="宋体" w:hint="eastAsia"/>
                <w:color w:val="333333"/>
                <w:kern w:val="0"/>
                <w:sz w:val="24"/>
              </w:rPr>
              <w:t>≦1000</w:t>
            </w:r>
          </w:p>
        </w:tc>
      </w:tr>
    </w:tbl>
    <w:p w:rsidR="0065000A" w:rsidRDefault="000846F6">
      <w:pPr>
        <w:widowControl/>
        <w:shd w:val="clear" w:color="auto" w:fill="FFFFFF"/>
        <w:spacing w:line="600" w:lineRule="exact"/>
        <w:ind w:firstLineChars="200"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填报申报书时应分项列出。涉及两项及两项以上开支内容的，可在所涉及的相关经费标准合计金额内统筹使用。</w:t>
      </w:r>
    </w:p>
    <w:p w:rsidR="0065000A" w:rsidRDefault="000846F6">
      <w:pPr>
        <w:widowControl/>
        <w:numPr>
          <w:ilvl w:val="0"/>
          <w:numId w:val="1"/>
        </w:numPr>
        <w:shd w:val="clear" w:color="auto" w:fill="FFFFFF"/>
        <w:spacing w:line="600" w:lineRule="exact"/>
        <w:ind w:firstLineChars="200"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lastRenderedPageBreak/>
        <w:t>场地租赁费：主要用于项目实施过程中租赁场地而发生的支出。</w:t>
      </w:r>
    </w:p>
    <w:p w:rsidR="0065000A" w:rsidRDefault="000846F6">
      <w:pPr>
        <w:widowControl/>
        <w:shd w:val="clear" w:color="auto" w:fill="FFFFFF"/>
        <w:spacing w:line="60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需注明租用场次、使用时长、场地类型、收费标准。</w:t>
      </w:r>
    </w:p>
    <w:p w:rsidR="0065000A" w:rsidRDefault="000846F6">
      <w:pPr>
        <w:widowControl/>
        <w:numPr>
          <w:ilvl w:val="0"/>
          <w:numId w:val="1"/>
        </w:numPr>
        <w:shd w:val="clear" w:color="auto" w:fill="FFFFFF"/>
        <w:spacing w:line="600" w:lineRule="exact"/>
        <w:ind w:firstLineChars="200"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设备费：主要用于项目运行所需设备的购置、租赁、使用等相关支出。</w:t>
      </w:r>
    </w:p>
    <w:p w:rsidR="0065000A" w:rsidRDefault="000846F6">
      <w:pPr>
        <w:widowControl/>
        <w:shd w:val="clear" w:color="auto" w:fill="FFFFFF"/>
        <w:spacing w:line="600" w:lineRule="exact"/>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需分类分项列出，标明品牌规格型号等技术参数，标明采购方式。</w:t>
      </w:r>
    </w:p>
    <w:p w:rsidR="0065000A" w:rsidRDefault="000846F6">
      <w:pPr>
        <w:widowControl/>
        <w:shd w:val="clear" w:color="auto" w:fill="FFFFFF"/>
        <w:spacing w:line="600" w:lineRule="exact"/>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 xml:space="preserve">    5.材料费：主要用于项目运行过程中消耗的各种原材料、辅助材料等易耗品的采购及运输等支出。</w:t>
      </w:r>
    </w:p>
    <w:p w:rsidR="0065000A" w:rsidRDefault="000846F6">
      <w:pPr>
        <w:widowControl/>
        <w:shd w:val="clear" w:color="auto" w:fill="FFFFFF"/>
        <w:spacing w:line="60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6.交通费：主要用于市内交通和租赁车辆等费用。</w:t>
      </w:r>
    </w:p>
    <w:p w:rsidR="000846F6" w:rsidRDefault="000846F6">
      <w:pPr>
        <w:widowControl/>
        <w:shd w:val="clear" w:color="auto" w:fill="FFFFFF"/>
        <w:spacing w:line="60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市内交通实报实销，参照差旅费标准≦80元/人/天，不得发放现金。</w:t>
      </w:r>
    </w:p>
    <w:p w:rsidR="0065000A" w:rsidRDefault="000846F6">
      <w:pPr>
        <w:widowControl/>
        <w:shd w:val="clear" w:color="auto" w:fill="FFFFFF"/>
        <w:spacing w:line="60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租赁车辆需注明车辆类型、乘坐人数、租车天数、收费标准等。</w:t>
      </w:r>
    </w:p>
    <w:p w:rsidR="000846F6" w:rsidRDefault="000846F6">
      <w:pPr>
        <w:widowControl/>
        <w:shd w:val="clear" w:color="auto" w:fill="FFFFFF"/>
        <w:spacing w:line="60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外埠交通费在差旅费中体现。</w:t>
      </w:r>
    </w:p>
    <w:p w:rsidR="0065000A" w:rsidRDefault="000846F6">
      <w:pPr>
        <w:widowControl/>
        <w:numPr>
          <w:ilvl w:val="0"/>
          <w:numId w:val="2"/>
        </w:numPr>
        <w:shd w:val="clear" w:color="auto" w:fill="FFFFFF"/>
        <w:spacing w:line="60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餐费：主要用于非本单位人员及学生活动、演出等支出。</w:t>
      </w:r>
    </w:p>
    <w:p w:rsidR="0065000A" w:rsidRDefault="000846F6">
      <w:pPr>
        <w:widowControl/>
        <w:shd w:val="clear" w:color="auto" w:fill="FFFFFF"/>
        <w:spacing w:line="60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本市餐费参照培训费标准≦110元/人/天，统一支出，不得发放现金。</w:t>
      </w:r>
    </w:p>
    <w:p w:rsidR="000846F6" w:rsidRPr="000846F6" w:rsidRDefault="000846F6" w:rsidP="000846F6">
      <w:pPr>
        <w:widowControl/>
        <w:shd w:val="clear" w:color="auto" w:fill="FFFFFF"/>
        <w:spacing w:line="60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外埠餐费在差旅费中体现。</w:t>
      </w:r>
    </w:p>
    <w:p w:rsidR="0065000A" w:rsidRDefault="000846F6">
      <w:pPr>
        <w:widowControl/>
        <w:numPr>
          <w:ilvl w:val="0"/>
          <w:numId w:val="2"/>
        </w:numPr>
        <w:shd w:val="clear" w:color="auto" w:fill="FFFFFF"/>
        <w:spacing w:line="60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出版、文献、知识产权等费用：主要用于项目运行过程中需要支付的出版费、资料费、邮费、文献检索费、专利申请及其知识产权事务等支出。</w:t>
      </w:r>
    </w:p>
    <w:p w:rsidR="0065000A" w:rsidRDefault="000846F6">
      <w:pPr>
        <w:widowControl/>
        <w:numPr>
          <w:ilvl w:val="0"/>
          <w:numId w:val="2"/>
        </w:numPr>
        <w:shd w:val="clear" w:color="auto" w:fill="FFFFFF"/>
        <w:spacing w:line="60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劳务费：主要用于直接参加项目人员（项目所在单位在职人员除外）的劳务性支出。</w:t>
      </w:r>
    </w:p>
    <w:p w:rsidR="0065000A" w:rsidRDefault="000846F6">
      <w:pPr>
        <w:widowControl/>
        <w:shd w:val="clear" w:color="auto" w:fill="FFFFFF"/>
        <w:spacing w:line="60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需注明人数（人次）、标准、时长、劳务内容等。视劳务类型测算。</w:t>
      </w:r>
    </w:p>
    <w:p w:rsidR="0065000A" w:rsidRDefault="000846F6">
      <w:pPr>
        <w:widowControl/>
        <w:numPr>
          <w:ilvl w:val="0"/>
          <w:numId w:val="2"/>
        </w:numPr>
        <w:shd w:val="clear" w:color="auto" w:fill="FFFFFF"/>
        <w:spacing w:line="600" w:lineRule="exact"/>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lastRenderedPageBreak/>
        <w:t>专家咨询费：主要用于项目运行过程中支付给临时聘请的咨询专家的支出。</w:t>
      </w:r>
    </w:p>
    <w:p w:rsidR="0065000A" w:rsidRDefault="000846F6">
      <w:pPr>
        <w:widowControl/>
        <w:shd w:val="clear" w:color="auto" w:fill="FFFFFF"/>
        <w:spacing w:line="600" w:lineRule="exact"/>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需注明人数（人次）、标准、时长、咨询内容等。参照培训费中讲课费标准。</w:t>
      </w:r>
    </w:p>
    <w:p w:rsidR="0065000A" w:rsidRDefault="000846F6">
      <w:pPr>
        <w:widowControl/>
        <w:shd w:val="clear" w:color="auto" w:fill="FFFFFF"/>
        <w:spacing w:line="600" w:lineRule="exact"/>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 xml:space="preserve">    *以上费用凡涉及政府采购的应按照国家和本市关于服务项目政府采购的要求执行。拟委托学会、协会、基金会等各类社会团体和企业具体实施的，应严格按照规定履行政府采购程序。</w:t>
      </w:r>
    </w:p>
    <w:p w:rsidR="0065000A" w:rsidRDefault="000846F6">
      <w:pPr>
        <w:widowControl/>
        <w:shd w:val="clear" w:color="auto" w:fill="FFFFFF"/>
        <w:spacing w:line="600" w:lineRule="exact"/>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 xml:space="preserve">    *不得填列“其他”和“不可预计费用”等。</w:t>
      </w:r>
    </w:p>
    <w:p w:rsidR="0065000A" w:rsidRDefault="0065000A">
      <w:bookmarkStart w:id="0" w:name="_GoBack"/>
      <w:bookmarkEnd w:id="0"/>
    </w:p>
    <w:sectPr w:rsidR="0065000A" w:rsidSect="00E35C1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C16" w:rsidRDefault="000846F6">
      <w:r>
        <w:separator/>
      </w:r>
    </w:p>
  </w:endnote>
  <w:endnote w:type="continuationSeparator" w:id="1">
    <w:p w:rsidR="00E35C16" w:rsidRDefault="000846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0A" w:rsidRDefault="00E35C16">
    <w:pPr>
      <w:pStyle w:val="a3"/>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5000A" w:rsidRDefault="00E35C16">
                <w:pPr>
                  <w:snapToGrid w:val="0"/>
                  <w:rPr>
                    <w:sz w:val="18"/>
                  </w:rPr>
                </w:pPr>
                <w:r>
                  <w:rPr>
                    <w:rFonts w:hint="eastAsia"/>
                    <w:sz w:val="18"/>
                  </w:rPr>
                  <w:fldChar w:fldCharType="begin"/>
                </w:r>
                <w:r w:rsidR="000846F6">
                  <w:rPr>
                    <w:rFonts w:hint="eastAsia"/>
                    <w:sz w:val="18"/>
                  </w:rPr>
                  <w:instrText xml:space="preserve"> PAGE  \* MERGEFORMAT </w:instrText>
                </w:r>
                <w:r>
                  <w:rPr>
                    <w:rFonts w:hint="eastAsia"/>
                    <w:sz w:val="18"/>
                  </w:rPr>
                  <w:fldChar w:fldCharType="separate"/>
                </w:r>
                <w:r w:rsidR="00B8216A">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C16" w:rsidRDefault="000846F6">
      <w:r>
        <w:separator/>
      </w:r>
    </w:p>
  </w:footnote>
  <w:footnote w:type="continuationSeparator" w:id="1">
    <w:p w:rsidR="00E35C16" w:rsidRDefault="000846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7DAE5"/>
    <w:multiLevelType w:val="singleLevel"/>
    <w:tmpl w:val="58C7DAE5"/>
    <w:lvl w:ilvl="0">
      <w:start w:val="3"/>
      <w:numFmt w:val="decimal"/>
      <w:suff w:val="nothing"/>
      <w:lvlText w:val="%1."/>
      <w:lvlJc w:val="left"/>
    </w:lvl>
  </w:abstractNum>
  <w:abstractNum w:abstractNumId="1">
    <w:nsid w:val="58C7E175"/>
    <w:multiLevelType w:val="singleLevel"/>
    <w:tmpl w:val="58C7E175"/>
    <w:lvl w:ilvl="0">
      <w:start w:val="7"/>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29594C"/>
    <w:rsid w:val="000846F6"/>
    <w:rsid w:val="0065000A"/>
    <w:rsid w:val="0092109B"/>
    <w:rsid w:val="00B8216A"/>
    <w:rsid w:val="00E35C16"/>
    <w:rsid w:val="0C055290"/>
    <w:rsid w:val="0E9E1761"/>
    <w:rsid w:val="10080007"/>
    <w:rsid w:val="105E6DD9"/>
    <w:rsid w:val="175526CA"/>
    <w:rsid w:val="1A6D499A"/>
    <w:rsid w:val="325C10BC"/>
    <w:rsid w:val="33BE28DD"/>
    <w:rsid w:val="37414B1D"/>
    <w:rsid w:val="38DE2F3E"/>
    <w:rsid w:val="3AB924E3"/>
    <w:rsid w:val="413B7B33"/>
    <w:rsid w:val="4ED272D1"/>
    <w:rsid w:val="50312105"/>
    <w:rsid w:val="5229594C"/>
    <w:rsid w:val="570D2742"/>
    <w:rsid w:val="57891190"/>
    <w:rsid w:val="57A56E3E"/>
    <w:rsid w:val="5B83232F"/>
    <w:rsid w:val="5FAB377E"/>
    <w:rsid w:val="72727C39"/>
    <w:rsid w:val="7BFE71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5C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35C16"/>
    <w:pPr>
      <w:tabs>
        <w:tab w:val="center" w:pos="4153"/>
        <w:tab w:val="right" w:pos="8306"/>
      </w:tabs>
      <w:snapToGrid w:val="0"/>
      <w:jc w:val="left"/>
    </w:pPr>
    <w:rPr>
      <w:sz w:val="18"/>
    </w:rPr>
  </w:style>
  <w:style w:type="paragraph" w:styleId="a4">
    <w:name w:val="header"/>
    <w:basedOn w:val="a"/>
    <w:qFormat/>
    <w:rsid w:val="00E35C1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96</Characters>
  <Application>Microsoft Office Word</Application>
  <DocSecurity>0</DocSecurity>
  <Lines>1</Lines>
  <Paragraphs>2</Paragraphs>
  <ScaleCrop>false</ScaleCrop>
  <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雨林木风</cp:lastModifiedBy>
  <cp:revision>2</cp:revision>
  <cp:lastPrinted>2017-03-14T11:59:00Z</cp:lastPrinted>
  <dcterms:created xsi:type="dcterms:W3CDTF">2017-04-15T04:20:00Z</dcterms:created>
  <dcterms:modified xsi:type="dcterms:W3CDTF">2017-04-15T04:20:00Z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